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BC" w:rsidRPr="003A72BC" w:rsidRDefault="003A72BC" w:rsidP="003A72BC">
      <w:pPr>
        <w:jc w:val="both"/>
        <w:rPr>
          <w:rFonts w:ascii="Calibri Light" w:hAnsi="Calibri Light" w:cs="Calibri Light"/>
        </w:rPr>
      </w:pPr>
    </w:p>
    <w:p w:rsidR="003A72BC" w:rsidRPr="003A72BC" w:rsidRDefault="003A72BC" w:rsidP="003A72BC">
      <w:pPr>
        <w:spacing w:after="0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Temeljem članka 7. stavka 1. točke 2. i članka 12. stavka 3. Zakon o ustanovama („Narodne novine“, broj 76/93, 29/97, 47/99, 35/08 i 127/19) i članka 16. točke 9. i članka 27. točke 12. Statuta Grada Zadra („Glasnik Grada Zadar“, broj 9/09, 28/10, 3/13, 9/14, 2/15- pročišćeni tekst, 3/18, 7/18- pročišćeni tekst, 15/19, 2/20 i 3/21),  te prethodne suglasnosti Ministarstva kulture i medija KLASA: _____  URBROJ: _______ od _____ 2021. godine, Gradsko vijeće Grada Zadra, na __ sjednici održanoj dana ______ 2021. godine,  </w:t>
      </w:r>
      <w:r w:rsidRPr="003A72BC">
        <w:rPr>
          <w:rFonts w:ascii="Arial" w:hAnsi="Arial" w:cs="Arial"/>
          <w:b/>
        </w:rPr>
        <w:t>d o n o s i</w:t>
      </w:r>
      <w:r w:rsidRPr="003A72BC">
        <w:rPr>
          <w:rFonts w:ascii="Arial" w:hAnsi="Arial" w:cs="Arial"/>
        </w:rPr>
        <w:t xml:space="preserve"> </w:t>
      </w:r>
    </w:p>
    <w:p w:rsidR="003A72BC" w:rsidRPr="003A72BC" w:rsidRDefault="003A72BC" w:rsidP="003A72BC">
      <w:pPr>
        <w:spacing w:after="0"/>
        <w:jc w:val="both"/>
        <w:rPr>
          <w:rFonts w:ascii="Arial" w:hAnsi="Arial" w:cs="Arial"/>
        </w:rPr>
      </w:pPr>
    </w:p>
    <w:p w:rsidR="003A72BC" w:rsidRPr="003A72BC" w:rsidRDefault="003A72BC" w:rsidP="003A72BC">
      <w:pPr>
        <w:spacing w:after="0"/>
        <w:jc w:val="both"/>
        <w:rPr>
          <w:rFonts w:ascii="Arial" w:hAnsi="Arial" w:cs="Arial"/>
        </w:rPr>
      </w:pPr>
    </w:p>
    <w:p w:rsidR="003A72BC" w:rsidRPr="003A72BC" w:rsidRDefault="003A72BC" w:rsidP="003A72BC">
      <w:pPr>
        <w:spacing w:after="0"/>
        <w:jc w:val="both"/>
        <w:rPr>
          <w:rFonts w:ascii="Arial" w:hAnsi="Arial" w:cs="Arial"/>
        </w:rPr>
      </w:pPr>
    </w:p>
    <w:p w:rsidR="003A72BC" w:rsidRPr="003A72BC" w:rsidRDefault="003A72BC" w:rsidP="003A72B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72BC">
        <w:rPr>
          <w:rFonts w:ascii="Arial" w:hAnsi="Arial" w:cs="Arial"/>
          <w:b/>
          <w:sz w:val="28"/>
          <w:szCs w:val="28"/>
        </w:rPr>
        <w:t xml:space="preserve">N A C R T    O D L U K E </w:t>
      </w:r>
    </w:p>
    <w:p w:rsidR="003A72BC" w:rsidRPr="003A72BC" w:rsidRDefault="003A72BC" w:rsidP="003A72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72BC">
        <w:rPr>
          <w:rFonts w:ascii="Arial" w:hAnsi="Arial" w:cs="Arial"/>
          <w:b/>
          <w:sz w:val="24"/>
          <w:szCs w:val="24"/>
        </w:rPr>
        <w:t>o osnivanju Javne ustanove u kulturi</w:t>
      </w:r>
    </w:p>
    <w:p w:rsidR="003A72BC" w:rsidRPr="003A72BC" w:rsidRDefault="003A72BC" w:rsidP="003A72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72BC">
        <w:rPr>
          <w:rFonts w:ascii="Arial" w:hAnsi="Arial" w:cs="Arial"/>
          <w:b/>
          <w:sz w:val="24"/>
          <w:szCs w:val="24"/>
        </w:rPr>
        <w:t xml:space="preserve"> „Dvije palače“ </w:t>
      </w:r>
    </w:p>
    <w:p w:rsidR="003A72BC" w:rsidRPr="003A72BC" w:rsidRDefault="003A72BC" w:rsidP="003A72BC">
      <w:pPr>
        <w:spacing w:after="0"/>
        <w:ind w:left="4248" w:hanging="4248"/>
        <w:jc w:val="both"/>
        <w:rPr>
          <w:rFonts w:ascii="Arial" w:hAnsi="Arial" w:cs="Arial"/>
        </w:rPr>
      </w:pPr>
    </w:p>
    <w:p w:rsidR="003A72BC" w:rsidRPr="003A72BC" w:rsidRDefault="003A72BC" w:rsidP="003A72BC">
      <w:pPr>
        <w:spacing w:after="0"/>
        <w:ind w:left="4248" w:hanging="4248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NAZIV I SJEDIŠTE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Ovom Odlukom osniva se Javna ustanova u kulturi „Dvije palače“ (u nastavku: Ustanova). </w:t>
      </w:r>
    </w:p>
    <w:p w:rsidR="003A72BC" w:rsidRPr="003A72BC" w:rsidRDefault="003A72BC" w:rsidP="003A72BC">
      <w:pPr>
        <w:pStyle w:val="Bezproreda"/>
        <w:ind w:firstLine="709"/>
        <w:rPr>
          <w:rFonts w:ascii="Arial" w:hAnsi="Arial" w:cs="Arial"/>
        </w:rPr>
      </w:pPr>
      <w:r w:rsidRPr="003A72BC">
        <w:rPr>
          <w:rFonts w:ascii="Arial" w:hAnsi="Arial" w:cs="Arial"/>
        </w:rPr>
        <w:t>Osnivač Ustanove je Grad Zadar.</w:t>
      </w:r>
    </w:p>
    <w:p w:rsidR="003A72BC" w:rsidRPr="003A72BC" w:rsidRDefault="003A72BC" w:rsidP="003A72BC">
      <w:pPr>
        <w:pStyle w:val="Bezproreda"/>
        <w:ind w:firstLine="709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Sjedište Ustanove je u Zadru, na Trg Petra Zoranića 1. 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DJELATNOST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2.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Djelatnosti Ustanove su: 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organizacija manifestacija od kulturnog interesa za život građana, poglavito događanja s područja vizualnih umjetnosti (likovna umjetnost i prošireni mediji) poput izložbi, radionica, predavanja, gostovanja umjetnika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produkcija gostujućih izložbi, umjetničkih i kulturnih događanja te drugih sličnih kulturnih manifestacija od javnog interesa u vlastitoj produkciji i / ili u suradnji s drugim organizatorima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organizacija i provođenje programa stručnog usavršavanja i edukativnih programa s područja kulture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koordinacija i organizacija tečajeva i programa iz djelatnosti ustanove za djecu i mlade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omogućavanje korištenja prostora i opreme za produkciju i provedbu programa organizacija kulture te ostalih programa (kongresi, konferencije i sl.)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koordinacija i organizacija gostovanja domaćih i stranih umjetnika i programa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posredovanje u kulturi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prikupljanje publikacija i izdanja s područja svoje djelatnosti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izdavačku i ostale prateće djelatnosti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iznajmljivanje tehničke opreme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prodaja na malo vlastitih i tuđih izdanja i proizvoda kojima se promiče kultura i umjetnost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izrada projektnih prijedloga i provedba EU projekata</w:t>
      </w:r>
    </w:p>
    <w:p w:rsidR="003A72BC" w:rsidRPr="003A72BC" w:rsidRDefault="003A72BC" w:rsidP="003A72B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druge djelatnosti koje se u manjem opsegu ili uobičajeno obavljaju uz navedenu djelatnost.</w:t>
      </w:r>
    </w:p>
    <w:p w:rsidR="003A72BC" w:rsidRPr="003A72BC" w:rsidRDefault="003A72BC" w:rsidP="003A72BC">
      <w:pPr>
        <w:pStyle w:val="Bezproreda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rPr>
          <w:rFonts w:ascii="Calibri Light" w:hAnsi="Calibri Light" w:cs="Calibri Light"/>
        </w:rPr>
      </w:pPr>
    </w:p>
    <w:p w:rsidR="003A72BC" w:rsidRPr="003A72BC" w:rsidRDefault="003A72BC" w:rsidP="003A72BC">
      <w:pPr>
        <w:pStyle w:val="Bezproreda"/>
        <w:rPr>
          <w:rFonts w:ascii="Calibri Light" w:hAnsi="Calibri Light" w:cs="Calibri Light"/>
        </w:rPr>
      </w:pPr>
    </w:p>
    <w:p w:rsidR="003A72BC" w:rsidRPr="003A72BC" w:rsidRDefault="003A72BC" w:rsidP="003A72BC">
      <w:pPr>
        <w:pStyle w:val="Bezproreda"/>
        <w:rPr>
          <w:rFonts w:ascii="Calibri Light" w:hAnsi="Calibri Light" w:cs="Calibri Light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TIJELA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ind w:firstLine="709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3.</w:t>
      </w:r>
    </w:p>
    <w:p w:rsidR="003A72BC" w:rsidRPr="003A72BC" w:rsidRDefault="003A72BC" w:rsidP="003A72BC">
      <w:pPr>
        <w:pStyle w:val="Bezproreda"/>
        <w:ind w:firstLine="709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Tijela Ustanove su: </w:t>
      </w:r>
    </w:p>
    <w:p w:rsidR="003A72BC" w:rsidRPr="003A72BC" w:rsidRDefault="003A72BC" w:rsidP="003A72BC">
      <w:pPr>
        <w:pStyle w:val="Bezproreda"/>
        <w:ind w:firstLine="709"/>
        <w:rPr>
          <w:rFonts w:ascii="Arial" w:hAnsi="Arial" w:cs="Arial"/>
        </w:rPr>
      </w:pPr>
      <w:r w:rsidRPr="003A72BC">
        <w:rPr>
          <w:rFonts w:ascii="Arial" w:hAnsi="Arial" w:cs="Arial"/>
        </w:rPr>
        <w:t>a)  Ravnatelj</w:t>
      </w:r>
    </w:p>
    <w:p w:rsidR="003A72BC" w:rsidRPr="003A72BC" w:rsidRDefault="003A72BC" w:rsidP="003A72BC">
      <w:pPr>
        <w:pStyle w:val="Bezproreda"/>
        <w:ind w:firstLine="709"/>
        <w:rPr>
          <w:rFonts w:ascii="Arial" w:hAnsi="Arial" w:cs="Arial"/>
        </w:rPr>
      </w:pPr>
      <w:r w:rsidRPr="003A72BC">
        <w:rPr>
          <w:rFonts w:ascii="Arial" w:hAnsi="Arial" w:cs="Arial"/>
        </w:rPr>
        <w:t>b)  Programski savjet.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Ravnatelj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5.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Ravnatelj upravlja, organizira i vodi poslovanje Ustanove, predstavlja i zastupa Ustanovu te obavlja druge poslove sukladno zakonu i Statutu Ustanove. 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Ravnatelj je odgovoran za zakonitost rada Ustanove.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6.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Ravnatelj se imenuje na četiri godine, sukladno zakonu kojim se uređuje upravljanje javnim ustanovama u kulturi, a ista osoba može biti ponovno imenovana za ravnatelja. 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Ravnatelj Ustanove može biti razriješen i prije isteka mandata na način i pod uvjetima propisanima zakonom i Statutom Ustanove. 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 xml:space="preserve">Članak 7. 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Uvjeti koje mora ispunjavati ravnatelj Ustanove, način njegova izbora, poslovi i ovlasti ravnatelja pobliže se određuju Statutom Ustanove. 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Programski savjet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8.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Programski savjet Ustanove ima 5 (pet) članova koje imenuje ravnatelj na način da se 2 (dva) člana imenuju iz reda zaposlenika Ustanove, 2  (dva) člana su predstavnici Odjela gradske uprave nadležnog za kulturu Grada Zadra, a 1 (jedan) član je predstavnik struke s područja vizualnih umjetnosti.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Programski savjet Ustanove imenuje ravnatelj na vrijeme od 4 (četiri) godine.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Djelokrug rada Programskog savjeta Ustanove te način njegovog rada i odlučivanja utvrdit će se Statutom Ustanove i Poslovnikom o radu Programskog savjeta Ustanove.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SREDSTVA POTREBNA ZA OSNIVANJE I POČETAK RADA USTANOVE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9.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Sredstva za osnivanje, početak rada i poslovanje Ustanove osiguravaju se u Proračunu Grada Zadra te iz drugih izvora u skladu sa zakonom.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 xml:space="preserve">Članak 10. 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Sredstva iz Proračuna Grada Zadra Ustanova ostvaruje na temelju odobrenih programa.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Ustanova može stjecati sredstva obavljanjem propisane djelatnosti te potporama, sponzorstvima i darivanjem.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11.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Prostor i opremu za rad Ustanove osigurava osnivač.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NAČIN RASPOLAGANJA S DOBITI USTANOVE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I POKRIVANJE GUBITAKA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12.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Ako u obavljanju svoje djelatnosti Ustanova ostvari dobit, ta će se dobit upotrijebiti isključivo za obavljanje</w:t>
      </w:r>
      <w:r w:rsidR="00F52ABB">
        <w:rPr>
          <w:rFonts w:ascii="Arial" w:hAnsi="Arial" w:cs="Arial"/>
        </w:rPr>
        <w:t xml:space="preserve"> i razvoj djelatnosti Ustanove, </w:t>
      </w:r>
      <w:r w:rsidRPr="003A72BC">
        <w:rPr>
          <w:rFonts w:ascii="Arial" w:hAnsi="Arial" w:cs="Arial"/>
        </w:rPr>
        <w:t>sukl</w:t>
      </w:r>
      <w:r w:rsidR="00F24496">
        <w:rPr>
          <w:rFonts w:ascii="Arial" w:hAnsi="Arial" w:cs="Arial"/>
        </w:rPr>
        <w:t>adno aktu o osnivanju i statutu.</w:t>
      </w:r>
      <w:bookmarkStart w:id="0" w:name="_GoBack"/>
      <w:bookmarkEnd w:id="0"/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13.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Za obveze u poslovanju Ustanova odgovara cijelom svojom imovinom.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Grad Zadar solidarno i neograničeno odgovara za obveze Ustanove.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OGRANIČENJA GLEDE RASPOLAGANJA S NEKRETNINAMA I DRUGOM IMOVINOM USTANOVE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14.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Ustanova ne može bez suglasnosti osnivača steći, opteretiti ili otuđiti nekretnine i drugu imovinu čija je vrijednost veća od vrijednosti utvrđene Statutom Ustanove.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JAVNOST RADA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15.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Rad Ustanove je javan.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O javnosti Ustanove skrbi ravnatelj.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PRIJELAZNE I ZAVRŠNE ODREDBE</w:t>
      </w: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16.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Do imenovanja ravnatelja Ustanove, sukladno ovoj Odluci, Gradonačelnik Grada Zadra  imenovat će privremenog ravnatelja. 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 xml:space="preserve">Privremeni ravnatelj Ustanove obavit će, pod nadzorom osnivača, u skladu sa zakonom, ovom Odlukom i statutom Ustanove sve pripremne radnje za početak rada Ustanove te podnijeti prijavu Ustanove za upis u sudski registar.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17.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Privremeni ravnatelj će donijeti Statut, uz prethodnu suglasnost osnivača.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Na temelju Statuta iz stavka 1. ovog članka izvršit će se imenovanje ravnatelja Ustanove, a sukladno članku 6. ove Odluke.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18.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Ustanova započinje s radom nakon upisa u sudski registar.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center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Članak 19.</w:t>
      </w:r>
    </w:p>
    <w:p w:rsidR="003A72BC" w:rsidRPr="003A72BC" w:rsidRDefault="003A72BC" w:rsidP="003A72BC">
      <w:pPr>
        <w:pStyle w:val="Bezproreda"/>
        <w:ind w:firstLine="709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Ova Odluka stupa na snagu osmog dana od dana objave u „Glasniku Grada Zadra“.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KLASA: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</w:rPr>
      </w:pPr>
      <w:r w:rsidRPr="003A72BC">
        <w:rPr>
          <w:rFonts w:ascii="Arial" w:hAnsi="Arial" w:cs="Arial"/>
        </w:rPr>
        <w:t>URBROJ: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 xml:space="preserve">Zadar, ______ 2021. godine </w:t>
      </w:r>
    </w:p>
    <w:p w:rsidR="003A72BC" w:rsidRPr="003A72BC" w:rsidRDefault="003A72BC" w:rsidP="003A72BC">
      <w:pPr>
        <w:pStyle w:val="Bezproreda"/>
        <w:jc w:val="both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ind w:left="5245"/>
        <w:rPr>
          <w:rFonts w:ascii="Arial" w:hAnsi="Arial" w:cs="Arial"/>
          <w:b/>
        </w:rPr>
      </w:pPr>
    </w:p>
    <w:p w:rsidR="003A72BC" w:rsidRPr="003A72BC" w:rsidRDefault="003A72BC" w:rsidP="003A72BC">
      <w:pPr>
        <w:pStyle w:val="Bezproreda"/>
        <w:ind w:left="5245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 xml:space="preserve">PREDSJEDNIK GRADSKOG VIJEĆA </w:t>
      </w:r>
    </w:p>
    <w:p w:rsidR="00705897" w:rsidRPr="003A72BC" w:rsidRDefault="003A72BC" w:rsidP="003A72BC">
      <w:pPr>
        <w:pStyle w:val="Bezproreda"/>
        <w:ind w:left="5245"/>
        <w:rPr>
          <w:rFonts w:ascii="Arial" w:hAnsi="Arial" w:cs="Arial"/>
          <w:b/>
        </w:rPr>
      </w:pPr>
      <w:r w:rsidRPr="003A72BC">
        <w:rPr>
          <w:rFonts w:ascii="Arial" w:hAnsi="Arial" w:cs="Arial"/>
          <w:b/>
        </w:rPr>
        <w:t>GRADA ZADRA</w:t>
      </w:r>
    </w:p>
    <w:sectPr w:rsidR="00705897" w:rsidRPr="003A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957"/>
    <w:multiLevelType w:val="hybridMultilevel"/>
    <w:tmpl w:val="11CC3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BC"/>
    <w:rsid w:val="003A72BC"/>
    <w:rsid w:val="00705897"/>
    <w:rsid w:val="00F24496"/>
    <w:rsid w:val="00F5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68A0-AC4D-4209-9225-AD16AD42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72BC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Jurjako</dc:creator>
  <cp:keywords/>
  <dc:description/>
  <cp:lastModifiedBy>Tina Jurjako</cp:lastModifiedBy>
  <cp:revision>3</cp:revision>
  <cp:lastPrinted>2021-12-08T09:22:00Z</cp:lastPrinted>
  <dcterms:created xsi:type="dcterms:W3CDTF">2021-12-06T08:30:00Z</dcterms:created>
  <dcterms:modified xsi:type="dcterms:W3CDTF">2021-12-08T09:29:00Z</dcterms:modified>
</cp:coreProperties>
</file>